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АДМИНИТРАЦИЯ МУНИЦИПАЛЬНОГО ОБРАЗОВАНИЯ 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 РАЙОНА УЛЬЯНОВСКОЙ ОБЛАСТИ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42CC" w:rsidRP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CC">
        <w:rPr>
          <w:rFonts w:ascii="Times New Roman" w:hAnsi="Times New Roman" w:cs="Times New Roman"/>
          <w:sz w:val="28"/>
          <w:szCs w:val="28"/>
        </w:rPr>
        <w:t>2024</w:t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039E">
        <w:rPr>
          <w:rFonts w:ascii="Times New Roman" w:hAnsi="Times New Roman" w:cs="Times New Roman"/>
          <w:sz w:val="28"/>
          <w:szCs w:val="28"/>
        </w:rPr>
        <w:t>ПРОЕКТ</w:t>
      </w:r>
    </w:p>
    <w:p w:rsidR="002B42CC" w:rsidRP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п.Зеленая Роща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 муниципальном образовании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</w:p>
    <w:p w:rsidR="00153FAF" w:rsidRDefault="00153FAF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 района Ульяновской области»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pStyle w:val="21"/>
        <w:ind w:firstLine="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r w:rsidR="00153FAF">
        <w:rPr>
          <w:rFonts w:ascii="Times New Roman" w:hAnsi="Times New Roman" w:cs="Times New Roman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а также в </w:t>
      </w:r>
      <w:r>
        <w:rPr>
          <w:rFonts w:ascii="Times New Roman" w:hAnsi="Times New Roman" w:cs="Times New Roman"/>
        </w:rPr>
        <w:t>целях повышения эффективности деятельности учреждений культуры в муниципальном образовании «Зеленорощинское сельское поселение»:</w:t>
      </w:r>
    </w:p>
    <w:p w:rsidR="002B42CC" w:rsidRDefault="002B42CC" w:rsidP="002B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widowControl w:val="0"/>
        <w:numPr>
          <w:ilvl w:val="2"/>
          <w:numId w:val="2"/>
        </w:numPr>
        <w:tabs>
          <w:tab w:val="clear" w:pos="720"/>
          <w:tab w:val="left" w:pos="709"/>
          <w:tab w:val="left" w:pos="851"/>
          <w:tab w:val="left" w:pos="1440"/>
        </w:tabs>
        <w:spacing w:after="0" w:line="100" w:lineRule="atLeast"/>
        <w:ind w:left="0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«Зеленорощинское сельское поселение»</w:t>
      </w:r>
      <w:r w:rsidR="00153FAF">
        <w:rPr>
          <w:rFonts w:ascii="Times New Roman" w:hAnsi="Times New Roman" w:cs="Times New Roman"/>
          <w:sz w:val="28"/>
          <w:szCs w:val="28"/>
        </w:rPr>
        <w:t xml:space="preserve"> Ульяновского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2CC" w:rsidRDefault="002B42CC" w:rsidP="002B42C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                   и вступает в силу с 01 января 2025 года.</w:t>
      </w: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42CC" w:rsidRDefault="002B42CC" w:rsidP="002B42CC">
      <w:pPr>
        <w:spacing w:after="0"/>
        <w:ind w:hanging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42CC" w:rsidRDefault="002B42CC" w:rsidP="002B42C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А.П. Волкова</w:t>
      </w:r>
    </w:p>
    <w:p w:rsidR="002B42CC" w:rsidRDefault="002B42CC" w:rsidP="002B42CC"/>
    <w:p w:rsidR="002B42CC" w:rsidRDefault="002B42CC" w:rsidP="002B42CC">
      <w:pPr>
        <w:pStyle w:val="1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ectPr w:rsidR="002B42CC">
          <w:pgSz w:w="11906" w:h="16838"/>
          <w:pgMar w:top="709" w:right="567" w:bottom="1134" w:left="1701" w:header="720" w:footer="720" w:gutter="0"/>
          <w:cols w:space="720"/>
          <w:docGrid w:linePitch="360" w:charSpace="-2049"/>
        </w:sectPr>
      </w:pP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</w:p>
    <w:p w:rsidR="002B42CC" w:rsidRDefault="002B42CC" w:rsidP="002B42CC">
      <w:pPr>
        <w:spacing w:after="0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«Зеленорощинское сельское поселение»</w:t>
      </w:r>
    </w:p>
    <w:p w:rsidR="002B42CC" w:rsidRDefault="002B42CC" w:rsidP="002B42CC">
      <w:pPr>
        <w:pStyle w:val="1"/>
        <w:spacing w:line="235" w:lineRule="auto"/>
        <w:ind w:left="0"/>
        <w:jc w:val="right"/>
        <w:rPr>
          <w:rFonts w:ascii="PT Astra Serif" w:eastAsia="Calibri" w:hAnsi="PT Astra Serif" w:cs="PT Astra Serif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F039E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№</w:t>
      </w:r>
      <w:r w:rsidR="008A4C72">
        <w:rPr>
          <w:color w:val="000000"/>
          <w:sz w:val="28"/>
          <w:szCs w:val="28"/>
        </w:rPr>
        <w:t xml:space="preserve"> </w:t>
      </w:r>
      <w:r w:rsidR="00CF039E">
        <w:rPr>
          <w:color w:val="000000"/>
          <w:sz w:val="28"/>
          <w:szCs w:val="28"/>
        </w:rPr>
        <w:t>_____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2B42CC" w:rsidRDefault="002B42CC" w:rsidP="002B42CC">
      <w:pPr>
        <w:pStyle w:val="1"/>
        <w:spacing w:line="235" w:lineRule="auto"/>
        <w:ind w:left="0"/>
        <w:jc w:val="right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Муниципальная программа</w:t>
      </w:r>
    </w:p>
    <w:p w:rsidR="002B42CC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«Развитие культуры </w:t>
      </w:r>
      <w:r>
        <w:rPr>
          <w:b/>
          <w:sz w:val="28"/>
          <w:szCs w:val="28"/>
        </w:rPr>
        <w:t xml:space="preserve">в муниципальном образовании </w:t>
      </w:r>
    </w:p>
    <w:p w:rsidR="002B42CC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«Зеленорощинское сельское поселение»</w:t>
      </w:r>
    </w:p>
    <w:p w:rsidR="00227A38" w:rsidRPr="00AC0291" w:rsidRDefault="00227A38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Ульяновского района Ульяновской области</w:t>
      </w:r>
    </w:p>
    <w:p w:rsidR="00153FAF" w:rsidRPr="00AC0291" w:rsidRDefault="00153FAF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</w:p>
    <w:p w:rsidR="002B42CC" w:rsidRPr="00AC0291" w:rsidRDefault="00153FAF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b/>
          <w:sz w:val="28"/>
          <w:szCs w:val="28"/>
        </w:rPr>
        <w:t>Стратегические приоритеты муни</w:t>
      </w:r>
      <w:r w:rsidR="002B42CC" w:rsidRPr="00AC0291">
        <w:rPr>
          <w:rFonts w:eastAsia="Calibri"/>
          <w:b/>
          <w:sz w:val="28"/>
          <w:szCs w:val="28"/>
        </w:rPr>
        <w:t>ципальной программы</w:t>
      </w:r>
    </w:p>
    <w:p w:rsidR="002B42CC" w:rsidRPr="00AC0291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 xml:space="preserve"> «Развитие культуры </w:t>
      </w:r>
      <w:r w:rsidRPr="00AC0291">
        <w:rPr>
          <w:b/>
          <w:sz w:val="28"/>
          <w:szCs w:val="28"/>
        </w:rPr>
        <w:t xml:space="preserve">в муниципальном образовании </w:t>
      </w:r>
    </w:p>
    <w:p w:rsidR="00227A38" w:rsidRPr="00AC0291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«Зеленорощинское сельское поселение»</w:t>
      </w:r>
      <w:r w:rsidR="00227A38" w:rsidRPr="00AC0291">
        <w:rPr>
          <w:b/>
          <w:sz w:val="28"/>
          <w:szCs w:val="28"/>
        </w:rPr>
        <w:t xml:space="preserve"> </w:t>
      </w:r>
    </w:p>
    <w:p w:rsidR="002B42CC" w:rsidRPr="00AC0291" w:rsidRDefault="00227A38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Ульяновского района Ульяновской области»</w:t>
      </w:r>
    </w:p>
    <w:p w:rsidR="00153FAF" w:rsidRPr="00AC0291" w:rsidRDefault="00153FAF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153FAF" w:rsidRPr="00AC0291" w:rsidRDefault="00153FAF" w:rsidP="00153FAF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>1.Оценка текущего состояния сфер культуры в муниципальном</w:t>
      </w:r>
    </w:p>
    <w:p w:rsidR="00153FAF" w:rsidRPr="00AC0291" w:rsidRDefault="00153FAF" w:rsidP="00153FAF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>образовании «Зеленорощинское сельское поселение»</w:t>
      </w:r>
    </w:p>
    <w:p w:rsidR="002B42CC" w:rsidRPr="00AC0291" w:rsidRDefault="002B42CC" w:rsidP="002B42CC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культурной политики – приоритетное направление социально-экономического развития на территории </w:t>
      </w:r>
      <w:r w:rsidRPr="00AC0291">
        <w:rPr>
          <w:rFonts w:ascii="Times New Roman" w:hAnsi="Times New Roman" w:cs="Times New Roman"/>
          <w:sz w:val="28"/>
          <w:szCs w:val="28"/>
        </w:rPr>
        <w:t>муниципального образования «Зеленорощинское сельское поселение»</w:t>
      </w:r>
      <w:r w:rsidRPr="00AC0291">
        <w:rPr>
          <w:rFonts w:ascii="Times New Roman" w:hAnsi="Times New Roman" w:cs="Times New Roman"/>
          <w:color w:val="000000"/>
          <w:sz w:val="28"/>
          <w:szCs w:val="28"/>
        </w:rPr>
        <w:t>. Культура рассматривается как один из решающих факторов, определяющих качество «человеческого капитала», а значит, и развитие в любой сфере деятельности.</w:t>
      </w: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Ключевой фактор развития сельских территорий – человеческий капитал. Эффективными являются инвестиции в формирование нового поколения людей, причастных к интеллектуальному творчеству, науке, образованию, экономике.</w:t>
      </w: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являются одним из элементов комплексного развития инфраструктуры муниципального образования. Формирование и расширение досуговой деятельности учреждения культуры повысит качество жизни населения, будет способствовать развитию культурного потенциала молодежи, остановит отток молодых специалистов из села, тем самым улучшит демографическую ситуацию в муниципальном образовании.</w:t>
      </w:r>
    </w:p>
    <w:p w:rsidR="002B42CC" w:rsidRPr="00AC0291" w:rsidRDefault="002B42CC" w:rsidP="002B4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Содержанием муниципальной культурной политики должна стать долговременная, последовательно реализуемая властью в сотрудничестве с обществом программа, направленная на обеспечение доступа самых широких групп населения к современным культурным ресурсам.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lastRenderedPageBreak/>
        <w:t xml:space="preserve">Сфера культуры </w:t>
      </w:r>
      <w:bookmarkStart w:id="1" w:name="Bookmark"/>
      <w:r w:rsidRPr="00AC029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«Зеленорощинское сельское поселение» </w:t>
      </w:r>
      <w:bookmarkEnd w:id="1"/>
      <w:r w:rsidRPr="00AC0291">
        <w:rPr>
          <w:rFonts w:ascii="Times New Roman" w:hAnsi="Times New Roman" w:cs="Times New Roman"/>
          <w:sz w:val="28"/>
          <w:szCs w:val="28"/>
        </w:rPr>
        <w:t>объединяет деятельность по развитию библиотечного, музейного дела, поддержке и развитию исполнительских искусств (в том числе театрального, музыкального), кинематографии, образования в сфере культуры и искусства.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Серьёзный импульс развитию культуры в муниципальном образовании «Зеленорощинское сельское поселение» придаёт реализация национального проекта «Культура», основная задача которого – обеспечение доступности культурных благ для населения. Наблюдаются положительные изменения: модернизируются клубы, создаются модельные библиотеки, оснащаются музыкальными инструментами детские школы искусств, проводятся фестивали, выставки и детские конкурсы, реализуются культурно-просветительские программы, активно развивается волонтёрское движение.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Bookmark1"/>
      <w:r w:rsidRPr="00AC0291">
        <w:rPr>
          <w:rFonts w:ascii="Times New Roman" w:hAnsi="Times New Roman" w:cs="Times New Roman"/>
          <w:sz w:val="28"/>
          <w:szCs w:val="28"/>
        </w:rPr>
        <w:t xml:space="preserve">Уровень посещаемости мероприятий, проводимых организациями культуры </w:t>
      </w:r>
      <w:bookmarkEnd w:id="2"/>
      <w:r w:rsidRPr="00AC0291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«Зеленорощинское сельское </w:t>
      </w:r>
      <w:proofErr w:type="gramStart"/>
      <w:r w:rsidRPr="00AC0291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AC0291">
        <w:rPr>
          <w:rFonts w:ascii="Times New Roman" w:hAnsi="Times New Roman" w:cs="Times New Roman"/>
          <w:sz w:val="28"/>
          <w:szCs w:val="28"/>
        </w:rPr>
        <w:t>в 2024 году вырос по сравнению с уровнем 2019 года более чем на 20 процентов.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Вместе с тем многие проблемы в сфере культуры остаются нерешёнными, в их числе: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C0291">
        <w:rPr>
          <w:rFonts w:ascii="Times New Roman" w:hAnsi="Times New Roman" w:cs="Times New Roman"/>
          <w:sz w:val="28"/>
          <w:szCs w:val="28"/>
        </w:rPr>
        <w:t>отсутствие в обществе представления о стратегической роли культуры</w:t>
      </w:r>
      <w:r w:rsidRPr="00AC0291">
        <w:rPr>
          <w:rFonts w:ascii="Times New Roman" w:hAnsi="Times New Roman" w:cs="Times New Roman"/>
          <w:sz w:val="28"/>
          <w:szCs w:val="28"/>
        </w:rPr>
        <w:br/>
        <w:t>и приоритетах государственной культурной политики;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недостаточный уровень обеспеченности населения услугами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высокая степень изношенности зданий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необходимость в модернизации материально-технической базы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низкий уровень «цифровой зрелости» значительного количества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C0291">
        <w:rPr>
          <w:rFonts w:ascii="Times New Roman" w:hAnsi="Times New Roman" w:cs="Times New Roman"/>
          <w:sz w:val="28"/>
          <w:szCs w:val="28"/>
        </w:rPr>
        <w:t>недостаток квалифицированных кадров в сфере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Решение указанных проблем обеспечит развитие сферы культуры</w:t>
      </w:r>
      <w:r w:rsidRPr="00AC0291">
        <w:rPr>
          <w:rFonts w:ascii="Times New Roman" w:hAnsi="Times New Roman" w:cs="Times New Roman"/>
        </w:rPr>
        <w:t xml:space="preserve"> </w:t>
      </w:r>
      <w:r w:rsidRPr="00AC0291">
        <w:rPr>
          <w:rFonts w:ascii="Times New Roman" w:hAnsi="Times New Roman" w:cs="Times New Roman"/>
          <w:sz w:val="28"/>
          <w:szCs w:val="28"/>
        </w:rPr>
        <w:t>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Федерации.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Pr="00AC0291" w:rsidRDefault="002B42CC" w:rsidP="002B42CC">
      <w:pPr>
        <w:pStyle w:val="1"/>
        <w:spacing w:line="235" w:lineRule="auto"/>
        <w:ind w:left="0"/>
        <w:jc w:val="center"/>
        <w:rPr>
          <w:b/>
          <w:color w:val="000000"/>
          <w:sz w:val="28"/>
          <w:szCs w:val="28"/>
        </w:rPr>
      </w:pPr>
      <w:r w:rsidRPr="00AC0291">
        <w:rPr>
          <w:b/>
          <w:color w:val="000000"/>
          <w:sz w:val="28"/>
          <w:szCs w:val="28"/>
        </w:rPr>
        <w:t xml:space="preserve">2. Описание приоритетов и целей социально-экономического </w:t>
      </w:r>
      <w:r w:rsidRPr="00AC0291">
        <w:rPr>
          <w:b/>
          <w:color w:val="000000"/>
          <w:sz w:val="28"/>
          <w:szCs w:val="28"/>
        </w:rPr>
        <w:br/>
        <w:t xml:space="preserve">развития Ульяновского района в сфере реализации </w:t>
      </w:r>
      <w:r w:rsidRPr="00AC0291">
        <w:rPr>
          <w:b/>
          <w:color w:val="000000"/>
          <w:sz w:val="28"/>
          <w:szCs w:val="28"/>
        </w:rPr>
        <w:br/>
        <w:t>муниципальной программы</w:t>
      </w:r>
      <w:r w:rsidRPr="00AC0291">
        <w:t xml:space="preserve"> </w:t>
      </w:r>
      <w:r w:rsidRPr="00AC0291">
        <w:rPr>
          <w:b/>
          <w:color w:val="000000"/>
          <w:sz w:val="28"/>
          <w:szCs w:val="28"/>
        </w:rPr>
        <w:t xml:space="preserve">«Развитие культуры </w:t>
      </w:r>
      <w:r w:rsidRPr="00AC0291">
        <w:rPr>
          <w:b/>
          <w:sz w:val="28"/>
          <w:szCs w:val="28"/>
        </w:rPr>
        <w:t>в муниципально</w:t>
      </w:r>
      <w:r w:rsidR="00F74BA6" w:rsidRPr="00AC0291">
        <w:rPr>
          <w:b/>
          <w:sz w:val="28"/>
          <w:szCs w:val="28"/>
        </w:rPr>
        <w:t>м образовании «Зеленорощинское сельское поселение</w:t>
      </w:r>
      <w:r w:rsidRPr="00AC0291">
        <w:rPr>
          <w:b/>
          <w:sz w:val="28"/>
          <w:szCs w:val="28"/>
        </w:rPr>
        <w:t>»</w:t>
      </w:r>
      <w:r w:rsidR="00F74BA6" w:rsidRPr="00AC0291">
        <w:rPr>
          <w:b/>
          <w:sz w:val="28"/>
          <w:szCs w:val="28"/>
        </w:rPr>
        <w:t xml:space="preserve"> Ульяновского района Ульяновской области</w:t>
      </w:r>
      <w:r w:rsidRPr="00AC0291">
        <w:rPr>
          <w:b/>
          <w:sz w:val="28"/>
          <w:szCs w:val="28"/>
        </w:rPr>
        <w:t>»</w:t>
      </w:r>
    </w:p>
    <w:p w:rsidR="002B42CC" w:rsidRDefault="002B42CC" w:rsidP="002B42CC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2.1.  Основными приоритетами социально-экономического развития муниципального образования «Зеленорощинское сельское поселение» в сфере реализации муниципальной программы «Развитие культуры в муниципальном образовании «Зеленорощинское сельское поселение»</w:t>
      </w:r>
      <w:r w:rsidR="00227A38" w:rsidRPr="00AC0291">
        <w:rPr>
          <w:rFonts w:ascii="Times New Roman" w:hAnsi="Times New Roman" w:cs="Times New Roman"/>
          <w:sz w:val="28"/>
          <w:szCs w:val="28"/>
        </w:rPr>
        <w:t xml:space="preserve"> Ульяновского района Ульяновской области</w:t>
      </w:r>
      <w:r w:rsidRPr="00AC0291">
        <w:rPr>
          <w:rFonts w:ascii="Times New Roman" w:hAnsi="Times New Roman" w:cs="Times New Roman"/>
          <w:sz w:val="28"/>
          <w:szCs w:val="28"/>
        </w:rPr>
        <w:t>» (далее также – муниципальная программа) являются</w:t>
      </w:r>
      <w:r>
        <w:rPr>
          <w:rFonts w:ascii="PT Astra Serif" w:hAnsi="PT Astra Serif"/>
          <w:sz w:val="28"/>
          <w:szCs w:val="28"/>
        </w:rPr>
        <w:t>:</w:t>
      </w:r>
    </w:p>
    <w:p w:rsidR="002B42CC" w:rsidRDefault="002B42CC" w:rsidP="002B42C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повышение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вовлечённых в культурную деятельность, </w:t>
      </w:r>
      <w:r>
        <w:rPr>
          <w:rFonts w:ascii="PT Astra Serif" w:hAnsi="PT Astra Serif"/>
          <w:sz w:val="28"/>
          <w:szCs w:val="28"/>
        </w:rPr>
        <w:br/>
        <w:t>и повышение востребованности цифровых ресурсов в сфере культуры;</w:t>
      </w:r>
    </w:p>
    <w:p w:rsidR="002B42CC" w:rsidRDefault="002B42CC" w:rsidP="002B42C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00"/>
        </w:rPr>
      </w:pPr>
      <w:r>
        <w:rPr>
          <w:rFonts w:ascii="PT Astra Serif" w:hAnsi="PT Astra Serif"/>
          <w:sz w:val="28"/>
          <w:szCs w:val="28"/>
        </w:rPr>
        <w:t>сохранение объектов нематериального этнокультурного достояния МО «Зеленорощинское сельское поселение» и их использование в воспитательных и образовательных целях;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Программы лежит признание специфики культуры одним из базовых факторов развития территории, даётся представление о культуре как ресурсе общественного и экономического развития. Программа направлена на решение задачи, которая состоит в формировании нового мышления всех субъектов культурной деятельности в условиях рыночной экономики.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выделяются два уровня проблем в сфере развития культуры в Поселении: инфраструктурные (износ материальной базы, отсутствие оборудования) и идеологические (разобщённость творческих лидеров и групп, недостаточное количество концертов, отсутствие адресной поддержки в одаренных детей и коллективов).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срочного решения требуют вопросы обеспечения материально-технической базы Учреждения, так как инженерная инфраструктура здания в целом и его техническое оснащение, специализированное оборудование изношено и не соответствуют современным требованиям предоставления услуг в сфере культуры.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Дома Культуры было построено в 1969 году. В 2023 г. благодаря программе ППМИ был осуществлен ремонт кровли, частично обновлена проводка зрительного зала </w:t>
      </w:r>
      <w:r w:rsidR="00153FAF">
        <w:rPr>
          <w:rFonts w:ascii="Times New Roman" w:hAnsi="Times New Roman" w:cs="Times New Roman"/>
          <w:sz w:val="28"/>
          <w:szCs w:val="28"/>
        </w:rPr>
        <w:t>и установлен подвесной потолок</w:t>
      </w:r>
      <w:r>
        <w:rPr>
          <w:rFonts w:ascii="Times New Roman" w:hAnsi="Times New Roman" w:cs="Times New Roman"/>
          <w:sz w:val="28"/>
          <w:szCs w:val="28"/>
          <w:shd w:val="clear" w:color="auto" w:fill="FFFF99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2024 г. в Доме Культуры установлен санитарный узел, произведена замена окон и дверей. В настоящее время требуется ремонт зрительного зала, замена сцены, обновление одежды сцены, ремонт крыльца Дома Культуры. 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услуг в сфере культуры и улучшение их качества напрямую зависит от технического оснащения учреждений культуры, сопровождаемого внедрением и развитием новой практики организации культурной деятельности.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Широкое внедрение инновационных технологий в деятельность учреждений культуры позволит повысить доступность услуг в сфере культуры, сделать культурную среду более насыщенной, отвечающей растущим потребностям личности и общества.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финансирования учреждений культуры в последние годы является одним из главных факторов нестабильного их развития. Всё это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значительной степени затрудняет использование в полном объёме культурного потенциала Поселения.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Программно-целевой метод доказал свою эффективность как на федеральном, так и на региональном уровнях. Следует также отметить, что для сферы культуры характерен кумулятивный эффект, когда максимальное вложение денежных средств проявляется через несколько лет. Поэтому существует необходимость в сохранении выбранного курса развития сферы культуры и продолжении реализации этого направления именно программно-целевым методом для достижения более высоких результатов.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Вероятными последствиями отказа от использования программно-целевого метода при решении вопросов улучшения положения в отрасли культуры могут стать:</w:t>
      </w:r>
    </w:p>
    <w:p w:rsidR="002B42CC" w:rsidRDefault="002B42CC" w:rsidP="002B42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разрозненные действия федеральных органов исполнительной власти, органов исполнительной власти субъектов Российской Федерации и органов местного самоуправления, снижение их ответственности и появление бессистемности в решении стоящих перед государством задач в сфере культуры;</w:t>
      </w:r>
    </w:p>
    <w:p w:rsidR="002B42CC" w:rsidRDefault="002B42CC" w:rsidP="002B42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неэффективное использование бюджетных средств, незначительное привлечение средств внебюджетных источников для решения проблем в сфере культуры.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в условиях экономического кризиса устойчивое развитие сферы культуры, как одного из действенных инструментов оживления экономики, невозможно обеспечить без внедрения эффективных механизмов государственной поддержки, включая государственно-частное партнёрство и стимулирование инвестиционной активности.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положительных моментов использования программно-целевого метода является возможность привлечения различных ведомств и организаций к решению проблем развития сферы культуры. Следует также отметить, что использование программно-целевого метода в целом позволило добиться хороших результатов в развитии сферы культуры Ульяновской области за </w:t>
      </w:r>
      <w:r>
        <w:rPr>
          <w:rFonts w:ascii="Times New Roman" w:hAnsi="Times New Roman" w:cs="Times New Roman"/>
          <w:sz w:val="28"/>
          <w:szCs w:val="28"/>
        </w:rPr>
        <w:t>прошедшие годы.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Определённые показатели в рамках реализации Программы позволят оперативно оценивать эффективность и вносить необходимые коррективы в рамках намеченных программных мероприятий. Рассматривая развитие отрасли культуры, следует признать, что учреждения культуры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способствуют  развитию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позволяя в большей степени учитывать интересы населения в реализации их культурных потребностей.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проблем в отрасли культуры программно-целевым методом при соответствующем организационном и экономическом обеспечении позволит создать систему организации, финансирования и контроля в сфере культуры с учётом модернизации, обеспечения доступности культурных благ для всех слоёв населения, повышения уровня культурной и информационной безопасности, участия граждан в культурной жизни поселения.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призвана реализовать стратегию развития культуры</w:t>
      </w:r>
      <w:r w:rsidR="00153FAF">
        <w:rPr>
          <w:rFonts w:ascii="Times New Roman" w:hAnsi="Times New Roman" w:cs="Times New Roman"/>
          <w:color w:val="000000"/>
          <w:sz w:val="28"/>
          <w:szCs w:val="28"/>
        </w:rPr>
        <w:t xml:space="preserve"> в Ульяновской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ориентированную на потребности населения, в том числе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«Зеленорощинское сельское поселение» Ульяновского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Ульяновского района.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Главная особенность Программы – определение культуры как фактора социально-экономического развития сельских территорий. Цели и задачи Программы и основные мероприятия будут содействовать обеспечению стабильности, общественному развитию, повышению авторитета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«Зеленорощинское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в свою очередь, соответствует приоритетам развития Ульяновской области, закреплённым в Стратегии социально-экономического развития Ульяновской области. </w:t>
      </w:r>
    </w:p>
    <w:p w:rsidR="002B42CC" w:rsidRDefault="002B42CC" w:rsidP="002B42CC">
      <w:pPr>
        <w:pStyle w:val="10"/>
        <w:spacing w:before="0" w:after="0" w:line="100" w:lineRule="atLeast"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Программа разработана в 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«Зеленорощинское сельское поселение» Ульяновского района Ульяновской области «Об утверждении Порядка разработки, реализации и оценки эффективности муниципальных программ муниципального образования «Зеленорощинское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42CC" w:rsidRDefault="002B42CC" w:rsidP="002B42CC">
      <w:pPr>
        <w:pStyle w:val="10"/>
        <w:spacing w:before="0" w:after="0" w:line="100" w:lineRule="atLeast"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42CC" w:rsidRDefault="002B42CC" w:rsidP="002B42CC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Стратегической целью социально-экономического развития муниципального образования «Зеленорощинское сельское поселение» является повышение эффективности реализации на территории муниципального образования «Зеленорощинское сельское поселение» государственной культурной политики, создание благоприятных условий для устойчивого развития сферы культуры.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jc w:val="center"/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3. </w:t>
      </w: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  <w:lang w:val="en-US"/>
        </w:rPr>
        <w:t>C</w:t>
      </w: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ведения о взаимосвязи муниципальной программы 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с национальными целями развития Российской Федерации, стратегическими приоритетами, целями и показателями 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>соответствующей государственными программами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взаимосвязана с национальной целью развития Российской Федерации, определённой Указом Президента Российской Федерации от 21.07.2020 № 474 «О национальных целях развития Российской Федерации на период до 2030 года», – «Возможности для самореализации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t xml:space="preserve">и развития талантов» и показателями государственной программы Российской Федерации «Развитие культуры», утверждённой постановлением Правительства Российской Федерации от 15.04.2014 № 317 «Об утверждении государственной программы Российской Федерации «Развитие культуры», государственной программы Российской Федерации «Развитие туризма», государственной программы Ульяновской области «Развитие культуры, туризма и сохранение объектов культурного наследия Ульяновской области», утверждённой постановлением Правительства Ульяновской области от 30.11.2023 № 32/648-П. 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tabs>
          <w:tab w:val="left" w:pos="4182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4. Описание задач муниципального образования «Зеленорощинское сельское поселение» в сферах культуры и способы их эффективного решения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Задачами муниципального образования «Зеленорощинское сельское поселение» в сфере культуры являются: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>1) развитие инфраструктуры в сфере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модернизация учреждений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 xml:space="preserve">б) обеспечение развития и укрепления материально-технической базы </w:t>
      </w:r>
      <w:r w:rsidR="00153FAF">
        <w:rPr>
          <w:rFonts w:ascii="PT Astra Serif" w:hAnsi="PT Astra Serif"/>
          <w:sz w:val="28"/>
          <w:szCs w:val="28"/>
        </w:rPr>
        <w:t>домов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развитие деятельности организаций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обеспечение деятельности организаций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>б) развитие гастрольной и выставочной деятельности муниципальных учреждений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поддержка развития добровольческой (волонтёрской) деятельности</w:t>
      </w:r>
      <w:r>
        <w:rPr>
          <w:rFonts w:ascii="PT Astra Serif" w:hAnsi="PT Astra Serif"/>
          <w:sz w:val="28"/>
          <w:szCs w:val="28"/>
        </w:rPr>
        <w:br/>
        <w:t>в сфере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внедрение цифровых технологий в сфере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реализация региональных и муниципальных проектов, обеспечивающих достижение значений показателей и результатов федеральных проектов, входящих в состав национального проекта «Культура», и других проектов; 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реализация приоритетных инвестиционных проектов в сфере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стимулирование благотворительной деятельности и меценатства;</w:t>
      </w:r>
    </w:p>
    <w:p w:rsidR="002B42CC" w:rsidRDefault="002B42CC" w:rsidP="002B42CC">
      <w:pPr>
        <w:widowControl w:val="0"/>
        <w:spacing w:after="0" w:line="244" w:lineRule="auto"/>
        <w:ind w:firstLine="720"/>
        <w:rPr>
          <w:rFonts w:ascii="PT Astra Serif" w:eastAsia="Times New Roman" w:hAnsi="PT Astra Serif" w:cs="Arial"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153FAF" w:rsidRDefault="00153FAF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ПАСПОРТ</w:t>
      </w:r>
    </w:p>
    <w:p w:rsidR="00227A38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</w:t>
      </w:r>
      <w:proofErr w:type="gramStart"/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программы  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>«</w:t>
      </w:r>
      <w:proofErr w:type="gramEnd"/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Развитие культуры 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>в муниципальном образовании «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>Зеленорощинское сельское поселение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>»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</w:p>
    <w:p w:rsidR="002B42CC" w:rsidRDefault="00227A38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color w:val="2E74B5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Ульяновского района Ульяновской области</w:t>
      </w:r>
    </w:p>
    <w:p w:rsidR="002B42CC" w:rsidRDefault="002B42CC" w:rsidP="002B42CC">
      <w:pPr>
        <w:widowControl w:val="0"/>
        <w:spacing w:after="0" w:line="244" w:lineRule="auto"/>
        <w:ind w:firstLine="720"/>
        <w:jc w:val="both"/>
        <w:rPr>
          <w:rFonts w:ascii="PT Astra Serif" w:eastAsia="Times New Roman" w:hAnsi="PT Astra Serif" w:cs="Arial"/>
          <w:color w:val="2E74B5"/>
          <w:sz w:val="24"/>
          <w:szCs w:val="24"/>
        </w:rPr>
      </w:pPr>
    </w:p>
    <w:tbl>
      <w:tblPr>
        <w:tblW w:w="970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6729"/>
      </w:tblGrid>
      <w:tr w:rsidR="002B42CC" w:rsidTr="002B42CC">
        <w:trPr>
          <w:trHeight w:val="20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Не определен</w:t>
            </w:r>
          </w:p>
        </w:tc>
      </w:tr>
      <w:tr w:rsidR="002B42CC" w:rsidTr="002B42CC">
        <w:trPr>
          <w:trHeight w:val="20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153FAF">
            <w:pPr>
              <w:widowControl w:val="0"/>
              <w:spacing w:after="0" w:line="244" w:lineRule="auto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МУ Администрац</w:t>
            </w:r>
            <w:r w:rsidR="00153FAF">
              <w:rPr>
                <w:rFonts w:ascii="PT Astra Serif" w:eastAsia="Times New Roman" w:hAnsi="PT Astra Serif" w:cs="Arial"/>
                <w:sz w:val="28"/>
                <w:szCs w:val="28"/>
              </w:rPr>
              <w:t>ии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МО «Зеленорощинское сельское поселение» 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государственной программы, участники государственной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МУ Администрации МО «Зеленорощинское сельское поселение»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2025-2030 годы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bookmarkStart w:id="3" w:name="Bookmark2"/>
            <w:r>
              <w:rPr>
                <w:rFonts w:ascii="PT Astra Serif" w:eastAsia="Times New Roman" w:hAnsi="PT Astra Serif" w:cs="Arial"/>
                <w:sz w:val="28"/>
                <w:szCs w:val="28"/>
              </w:rPr>
              <w:t>Создание условий для эффективной реализации государственной культурной политики на территории МО «Зеленорощинское сельское поселение» Ульяновского района Ульяновской области</w:t>
            </w:r>
            <w:bookmarkEnd w:id="3"/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Направления (подпрограммы)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культурной инфраструктуры»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деятельности организаций культуры»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Количество граждан, принимающих участие в добровольческой деятельности;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число посещений мероприятий организаций культуры;</w:t>
            </w:r>
          </w:p>
          <w:p w:rsidR="002B42CC" w:rsidRDefault="002B42CC" w:rsidP="00F35240">
            <w:pPr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доля зданий учреждений культуры, находящихся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в удовлетворительном состоянии, в общем количестве зданий данных учреждений;</w:t>
            </w:r>
          </w:p>
          <w:p w:rsidR="002B42CC" w:rsidRDefault="002B42CC" w:rsidP="002B42CC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удовлетворённости граждан Российской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Федерации доступностью и качеством услуг организаций культуры;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Ресурсное обеспечение муниципальной программы с разбивкой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по источникам финансового обеспечения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и годам реализации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Общий объём бюджетных ассигнований на финансовое обеспечение реализации муниципальной программы в 2025-2030 годах составит 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11604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,38006 тыс. рублей, 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3804,38006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156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2027 году – 15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,0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в 2029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,0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них:</w:t>
            </w:r>
          </w:p>
          <w:p w:rsidR="00035A1D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 счёт бюджетных ас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сигнований местного </w:t>
            </w:r>
            <w:proofErr w:type="gramStart"/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бюджета  –</w:t>
            </w:r>
            <w:proofErr w:type="gramEnd"/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9803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,77098 тыс. рублей,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2003,77098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15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в 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2027 году – 156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2029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 счёт бюджетных ассигнований областного бюджета Ульяновской области, источником которых являются субсидии из федерального бюджета, – 1575,098 тыс. рублей, 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1575,098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2027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2029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0,0 тыс. рублей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Муниципальная программа связана с национальной целью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развития Российской Федерации – «Возможности для самореализации и развития талантов» и со следующими государственными программами Российской Федерации:</w:t>
            </w:r>
          </w:p>
          <w:p w:rsidR="00153FAF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культуры», утверждённой постановлением Правительства Российской Федерации от 15.04.2014   № 317;</w:t>
            </w:r>
          </w:p>
          <w:p w:rsidR="002B42CC" w:rsidRPr="00153FAF" w:rsidRDefault="00153FAF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  <w:t>«Го</w:t>
            </w:r>
            <w:r w:rsidR="002B42CC">
              <w:rPr>
                <w:rFonts w:ascii="PT Astra Serif" w:hAnsi="PT Astra Serif"/>
                <w:sz w:val="28"/>
                <w:szCs w:val="28"/>
              </w:rPr>
              <w:t>сударственной программы Ульяновской области «Развитие культуры, туризма и сохранение объектов культурного наследия Ульяновской области», утверждённой постановлением Правительства Ульяновской области от 30.11.2023 № 32/648-П.</w:t>
            </w:r>
          </w:p>
        </w:tc>
      </w:tr>
    </w:tbl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FB198E" w:rsidRDefault="00FB198E" w:rsidP="002B42CC">
      <w:pPr>
        <w:spacing w:after="0" w:line="100" w:lineRule="atLeast"/>
        <w:ind w:firstLine="709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  <w:sectPr w:rsidR="00FB1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  <w:lastRenderedPageBreak/>
        <w:t>ПРИЛОЖЕНИЕ № 1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Theme="minorEastAsia" w:hAnsi="PT Astra Serif" w:cs="Arial"/>
          <w:kern w:val="2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Theme="minorEastAsia" w:hAnsi="PT Astra Serif" w:cs="Arial"/>
          <w:kern w:val="2"/>
          <w:sz w:val="28"/>
          <w:szCs w:val="28"/>
          <w:lang w:eastAsia="en-US"/>
          <w14:ligatures w14:val="standardContextual"/>
        </w:rPr>
        <w:t>К муниципальной программе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>ПЕРЕЧЕНЬ ПОКАЗАТЕЛЕЙ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>муниципальной программы «Развитие культуры и в муниципальном образовании «Зеленорощинское сельское поселение» Ульяновского района Ульяновской области»</w:t>
      </w:r>
    </w:p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8"/>
          <w:szCs w:val="24"/>
          <w:highlight w:val="yellow"/>
          <w:lang w:eastAsia="ru-RU"/>
          <w14:ligatures w14:val="standardContextual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701"/>
        <w:gridCol w:w="709"/>
        <w:gridCol w:w="850"/>
        <w:gridCol w:w="851"/>
        <w:gridCol w:w="567"/>
        <w:gridCol w:w="567"/>
        <w:gridCol w:w="567"/>
        <w:gridCol w:w="567"/>
        <w:gridCol w:w="680"/>
        <w:gridCol w:w="567"/>
        <w:gridCol w:w="708"/>
        <w:gridCol w:w="880"/>
        <w:gridCol w:w="1842"/>
        <w:gridCol w:w="993"/>
        <w:gridCol w:w="1275"/>
        <w:gridCol w:w="1418"/>
      </w:tblGrid>
      <w:tr w:rsidR="00FB198E" w:rsidRPr="00FB198E" w:rsidTr="000F75EC">
        <w:trPr>
          <w:trHeight w:val="428"/>
        </w:trPr>
        <w:tc>
          <w:tcPr>
            <w:tcW w:w="455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80" w:right="-113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№ п/п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Признак возрастания/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убывания значения показателя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Единица измерения значения показателя (по ОКЕИ)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Базовое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значение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Значения показателя по годам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Ответственный за достижение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значений показателя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Связь с показателями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Информационная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</w:t>
            </w:r>
          </w:p>
        </w:tc>
      </w:tr>
      <w:tr w:rsidR="00FB198E" w:rsidRPr="00FB198E" w:rsidTr="000F75EC">
        <w:trPr>
          <w:trHeight w:val="574"/>
        </w:trPr>
        <w:tc>
          <w:tcPr>
            <w:tcW w:w="455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2025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2026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2027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2028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2029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2030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</w:tr>
    </w:tbl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14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"/>
          <w:szCs w:val="20"/>
          <w:lang w:eastAsia="ru-RU"/>
          <w14:ligatures w14:val="standardContextual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701"/>
        <w:gridCol w:w="709"/>
        <w:gridCol w:w="850"/>
        <w:gridCol w:w="851"/>
        <w:gridCol w:w="567"/>
        <w:gridCol w:w="567"/>
        <w:gridCol w:w="568"/>
        <w:gridCol w:w="567"/>
        <w:gridCol w:w="679"/>
        <w:gridCol w:w="567"/>
        <w:gridCol w:w="708"/>
        <w:gridCol w:w="880"/>
        <w:gridCol w:w="1843"/>
        <w:gridCol w:w="992"/>
        <w:gridCol w:w="1275"/>
        <w:gridCol w:w="1560"/>
      </w:tblGrid>
      <w:tr w:rsidR="00FB198E" w:rsidRPr="00FB198E" w:rsidTr="000F75EC">
        <w:trPr>
          <w:trHeight w:val="287"/>
          <w:tblHeader/>
        </w:trPr>
        <w:tc>
          <w:tcPr>
            <w:tcW w:w="455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</w:t>
            </w:r>
          </w:p>
        </w:tc>
        <w:tc>
          <w:tcPr>
            <w:tcW w:w="1701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right="-21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</w:t>
            </w:r>
          </w:p>
        </w:tc>
        <w:tc>
          <w:tcPr>
            <w:tcW w:w="709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3</w:t>
            </w:r>
          </w:p>
        </w:tc>
        <w:tc>
          <w:tcPr>
            <w:tcW w:w="850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4</w:t>
            </w:r>
          </w:p>
        </w:tc>
        <w:tc>
          <w:tcPr>
            <w:tcW w:w="851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27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</w:t>
            </w:r>
          </w:p>
        </w:tc>
        <w:tc>
          <w:tcPr>
            <w:tcW w:w="568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</w:t>
            </w:r>
          </w:p>
        </w:tc>
        <w:tc>
          <w:tcPr>
            <w:tcW w:w="679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11</w:t>
            </w:r>
          </w:p>
        </w:tc>
        <w:tc>
          <w:tcPr>
            <w:tcW w:w="708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12</w:t>
            </w:r>
          </w:p>
        </w:tc>
        <w:tc>
          <w:tcPr>
            <w:tcW w:w="880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13</w:t>
            </w:r>
          </w:p>
        </w:tc>
        <w:tc>
          <w:tcPr>
            <w:tcW w:w="1843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14</w:t>
            </w:r>
          </w:p>
        </w:tc>
        <w:tc>
          <w:tcPr>
            <w:tcW w:w="992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15</w:t>
            </w:r>
          </w:p>
        </w:tc>
        <w:tc>
          <w:tcPr>
            <w:tcW w:w="1275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16</w:t>
            </w:r>
          </w:p>
        </w:tc>
        <w:tc>
          <w:tcPr>
            <w:tcW w:w="1560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30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18</w:t>
            </w:r>
          </w:p>
        </w:tc>
      </w:tr>
      <w:tr w:rsidR="00FB198E" w:rsidRPr="00FB198E" w:rsidTr="000F75EC">
        <w:trPr>
          <w:trHeight w:val="359"/>
        </w:trPr>
        <w:tc>
          <w:tcPr>
            <w:tcW w:w="45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1.</w:t>
            </w:r>
          </w:p>
        </w:tc>
        <w:tc>
          <w:tcPr>
            <w:tcW w:w="1701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sz w:val="20"/>
                <w:szCs w:val="20"/>
                <w:lang w:eastAsia="ru-RU"/>
                <w14:ligatures w14:val="standardContextual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709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ВДЛ, НП</w:t>
            </w:r>
          </w:p>
        </w:tc>
        <w:tc>
          <w:tcPr>
            <w:tcW w:w="850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чел.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1200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1400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1600</w:t>
            </w:r>
          </w:p>
        </w:tc>
        <w:tc>
          <w:tcPr>
            <w:tcW w:w="679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1700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1800</w:t>
            </w:r>
          </w:p>
        </w:tc>
        <w:tc>
          <w:tcPr>
            <w:tcW w:w="708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1900</w:t>
            </w:r>
          </w:p>
        </w:tc>
        <w:tc>
          <w:tcPr>
            <w:tcW w:w="880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2000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843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Указ Президента Российской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Федерации от 21.07.2020 № 474 «О национальных целях развития Российской Федерации на период до 2030 года» (далее </w:t>
            </w:r>
            <w:bookmarkStart w:id="4" w:name="_Hlk149216926"/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–</w:t>
            </w:r>
            <w:bookmarkEnd w:id="4"/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 Указ № 474);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Указ Президента Российской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Федерации от 04.02.2021 № 68 «Об оценке эффективности деятельности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высших должностных лиц субъектов Российской Федерации и деятельности исполнительных органов субъектов Российской Федерации» (далее – Указ № 68)</w:t>
            </w:r>
          </w:p>
        </w:tc>
        <w:tc>
          <w:tcPr>
            <w:tcW w:w="992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 xml:space="preserve">администрация МО «Зеленорощинское сельское поселение </w:t>
            </w:r>
          </w:p>
        </w:tc>
        <w:tc>
          <w:tcPr>
            <w:tcW w:w="127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доли граждан, занимающихся волонтёрской (добровольческой) деятельностью или вовлечённых в деятельность волонтёрских (добровольч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еских) организаций, до 15 процентов</w:t>
            </w:r>
          </w:p>
        </w:tc>
        <w:tc>
          <w:tcPr>
            <w:tcW w:w="1560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Государственная информационная система Ульяновской области «Централизованная автоматизированная система «АЦК-Планирование» (далее – система «АЦК-Планирование»);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highlight w:val="yellow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государственная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 xml:space="preserve">интегрированная информационная система управления общественными финансами «Электронный бюджет»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(далее – система «Электронный бюджет»)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Число посещений мероприятий организаций культуры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ВДЛ, ГП РФ, МП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Тыс. ед.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7,218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8,00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8,50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9,50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10,00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10,50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11,50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Указ № 474;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Указ № 68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1,5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 РФ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%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60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75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80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Распоряжение Правительства Российской 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Федерации от 29.02.2016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№ 326-р «Об утверждении Стратегии государственной культурной политики на период до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2030 года»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(далее –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распоряжение № 326-р)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 1,5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«АЦК-Планирование»;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«Электронный бюджет»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Уровень обеспеченности организациями культуры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РФ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%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right="-112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65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90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100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Распоряжение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№ 326-р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два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«АЦК-Планирование»;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«Электронный бюджет»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Уровень удовлетворённости граждан доступностью и качеством услуг организаций культуры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РФ,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ГП,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МП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%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70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90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95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Распоряжение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№ 326-р; постановление Правительства Ульяновской области от 13.07.2015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№ 16/319-П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«Об утверждении Стратегии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социально-экономического развития Ульяновской области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до 2030 года»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два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«АЦК-Планирование»;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«Электронный бюджет»</w:t>
            </w:r>
          </w:p>
        </w:tc>
      </w:tr>
    </w:tbl>
    <w:p w:rsidR="00FB198E" w:rsidRPr="00FB198E" w:rsidRDefault="00FB198E" w:rsidP="00FB198E">
      <w:pPr>
        <w:suppressAutoHyphens w:val="0"/>
        <w:spacing w:after="0" w:line="240" w:lineRule="auto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</w:p>
    <w:p w:rsidR="00FB198E" w:rsidRPr="00FB198E" w:rsidRDefault="00FB198E" w:rsidP="00FB198E">
      <w:pPr>
        <w:spacing w:after="0" w:line="240" w:lineRule="auto"/>
        <w:ind w:firstLine="709"/>
        <w:jc w:val="both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4"/>
          <w:szCs w:val="24"/>
          <w:lang w:eastAsia="en-US"/>
          <w14:ligatures w14:val="standardContextual"/>
        </w:rPr>
        <w:t xml:space="preserve">Примечание: </w:t>
      </w:r>
      <w:r w:rsidRPr="00FB198E"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  <w:t xml:space="preserve">ВДЛ – показатели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Федерации; НП – национальный проект; ГП РФ – государственная программа Российской Федерации; ГП – государственная программа Ульяновской области, МП – муниципальная программа  </w:t>
      </w:r>
    </w:p>
    <w:p w:rsidR="00FB198E" w:rsidRPr="00FB198E" w:rsidRDefault="00FB198E" w:rsidP="00FB198E">
      <w:pPr>
        <w:suppressAutoHyphens w:val="0"/>
        <w:spacing w:after="0" w:line="240" w:lineRule="auto"/>
        <w:ind w:firstLine="709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  <w:t>_________________</w:t>
      </w:r>
    </w:p>
    <w:p w:rsidR="00FB198E" w:rsidRPr="00FB198E" w:rsidRDefault="00FB198E" w:rsidP="00FB198E">
      <w:pPr>
        <w:suppressAutoHyphens w:val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  <w:lastRenderedPageBreak/>
        <w:t>ПРИЛОЖЕНИЕ № 2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  <w14:ligatures w14:val="standardContextual"/>
        </w:rPr>
      </w:pPr>
      <w:r w:rsidRPr="00FB198E">
        <w:rPr>
          <w:rFonts w:ascii="PT Astra Serif" w:eastAsiaTheme="minorEastAsia" w:hAnsi="PT Astra Serif" w:cs="Arial"/>
          <w:kern w:val="2"/>
          <w:sz w:val="28"/>
          <w:szCs w:val="28"/>
          <w:lang w:eastAsia="en-US"/>
          <w14:ligatures w14:val="standardContextual"/>
        </w:rPr>
        <w:t>к муниципальной программе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  <w14:ligatures w14:val="standardContextual"/>
        </w:rPr>
        <w:t>СИСТЕМА СТРУКТУРНЫХ ЭЛЕМЕНТОВ</w:t>
      </w:r>
      <w:r w:rsidRPr="00FB198E"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  <w14:ligatures w14:val="standardContextual"/>
        </w:rPr>
        <w:br/>
        <w:t xml:space="preserve">муниципальной программы </w:t>
      </w:r>
      <w:r w:rsidRPr="00FB198E"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  <w14:ligatures w14:val="standardContextual"/>
        </w:rPr>
        <w:br/>
        <w:t>«Р</w:t>
      </w: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 xml:space="preserve">азвитие культуры в муниципальном образовании «Зеленорощинское сельское поселение» 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>Ульяновского района Ульяновской области»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color w:val="2F5496" w:themeColor="accent5" w:themeShade="BF"/>
          <w:kern w:val="0"/>
          <w:sz w:val="2"/>
          <w:szCs w:val="2"/>
          <w:lang w:eastAsia="en-US"/>
          <w14:ligatures w14:val="standardContextual"/>
        </w:rPr>
      </w:pPr>
    </w:p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4"/>
          <w:szCs w:val="24"/>
          <w:highlight w:val="yellow"/>
          <w:lang w:eastAsia="ru-RU"/>
          <w14:ligatures w14:val="standardContextual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958"/>
        <w:gridCol w:w="5953"/>
        <w:gridCol w:w="4395"/>
      </w:tblGrid>
      <w:tr w:rsidR="00FB198E" w:rsidRPr="00FB198E" w:rsidTr="000F75EC">
        <w:trPr>
          <w:trHeight w:val="491"/>
        </w:trPr>
        <w:tc>
          <w:tcPr>
            <w:tcW w:w="85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№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п/п</w:t>
            </w:r>
          </w:p>
        </w:tc>
        <w:tc>
          <w:tcPr>
            <w:tcW w:w="3958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Задачи структурного элемента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муниципальной программы</w:t>
            </w:r>
          </w:p>
        </w:tc>
        <w:tc>
          <w:tcPr>
            <w:tcW w:w="5953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Краткое описание ожидаемых эффектов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br/>
              <w:t>от решения задачи структурного элемента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br/>
              <w:t xml:space="preserve">муниципальной программы </w:t>
            </w:r>
          </w:p>
        </w:tc>
        <w:tc>
          <w:tcPr>
            <w:tcW w:w="4395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Связь структурного элемента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с показателями муниципальной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программы</w:t>
            </w:r>
          </w:p>
        </w:tc>
      </w:tr>
    </w:tbl>
    <w:p w:rsidR="00FB198E" w:rsidRPr="00FB198E" w:rsidRDefault="00FB198E" w:rsidP="00FB198E">
      <w:pPr>
        <w:suppressAutoHyphens w:val="0"/>
        <w:spacing w:after="0" w:line="14" w:lineRule="auto"/>
        <w:rPr>
          <w:rFonts w:ascii="PT Astra Serif" w:eastAsia="Times New Roman" w:hAnsi="PT Astra Serif" w:cs="Times New Roman"/>
          <w:kern w:val="0"/>
          <w:sz w:val="2"/>
          <w:lang w:eastAsia="ru-RU"/>
          <w14:ligatures w14:val="standardContextual"/>
        </w:rPr>
      </w:pPr>
    </w:p>
    <w:tbl>
      <w:tblPr>
        <w:tblW w:w="15163" w:type="dxa"/>
        <w:tblLook w:val="01E0" w:firstRow="1" w:lastRow="1" w:firstColumn="1" w:lastColumn="1" w:noHBand="0" w:noVBand="0"/>
      </w:tblPr>
      <w:tblGrid>
        <w:gridCol w:w="858"/>
        <w:gridCol w:w="3957"/>
        <w:gridCol w:w="5953"/>
        <w:gridCol w:w="4395"/>
      </w:tblGrid>
      <w:tr w:rsidR="00FB198E" w:rsidRPr="00FB198E" w:rsidTr="000F75EC">
        <w:trPr>
          <w:trHeight w:val="271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</w:t>
            </w:r>
          </w:p>
        </w:tc>
      </w:tr>
      <w:tr w:rsidR="00FB198E" w:rsidRPr="00FB198E" w:rsidTr="000F75EC">
        <w:trPr>
          <w:trHeight w:val="279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  <w:t>Направление (подпрограмма) «Развитие культурной инфраструктуры»</w:t>
            </w:r>
          </w:p>
        </w:tc>
      </w:tr>
      <w:tr w:rsidR="00FB198E" w:rsidRPr="00FB198E" w:rsidTr="000F75EC">
        <w:trPr>
          <w:trHeight w:val="279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1.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Муниципальный проект «Обеспечение качественно нового уровня развития инфраструктуры культуры («Культурная среда»)», обеспечивающий достижение значений показателей и результатов регионального и федерального проекта «Культурная среда», входящего в состав национального проекта «Культура» </w:t>
            </w:r>
          </w:p>
        </w:tc>
      </w:tr>
      <w:tr w:rsidR="00FB198E" w:rsidRPr="00FB198E" w:rsidTr="000F75EC">
        <w:trPr>
          <w:trHeight w:val="279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Ответственный за реализацию: Муниципальное учреждение администрация муниципального образования «Зеленорощинское сельское поселение» (далее – Администрация МО «Зеленорощинское сельское поселение»)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Срок реализации: 2025-2030 годы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1.1.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Обеспечено развитие культурной инфраструктуры, улучшено качество культурной среды, созданы условия для повышения качества и увеличения объёмов услуг, предоставляемых организациями культуры населению, вовлечения различных социальных групп в культурную деятельность за счёт реконструкции муниципальных культурно-досуговых учреждений, реновации муниципальных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организаций культуры, реконструкции, капитального ремонта и технического оснащения, и др.  Обеспечено развитие культурной инфраструктуры сельских территорий и повышен уровень доступности культурных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благ и услуг для жителей сельских поселений за счёт создания и модернизации сельских учреждений культурно-досугового типа, приобретения передвижных многофункциональных культурных центров (автоклубов)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обеспеченности субъектов Российской Федерации организациями культуры;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2.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Муниципальный проект «Развитие искусства и творчества», обеспечивающий достижение значений показателей и результатов регионального проекта «Развитие искусства и творчества», не входящего в состав национального проекта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Срок реализации: 2025-2026 годы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2.1.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Создание и показ новых постановок и (или) укрепление материально-технической базы учреждений культурно-досугового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Созданы условия для повышения качества, разнообразия и доступности услуг. Обеспечено развитие и укрепление материально-технической базы, а также проведены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ремонтные работы (текущие ремонты) в зданиях домов культуры в населённых пунктах с числом жителей до 4 тыс. человек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3.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Комплекс процессных мероприятий «Модернизация материально-технической базы учреждений культуры»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 xml:space="preserve">Ответственный за реализацию: администрация МО «Зеленорощинское сельское </w:t>
            </w:r>
            <w:proofErr w:type="spellStart"/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поселние</w:t>
            </w:r>
            <w:proofErr w:type="spellEnd"/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3.1.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Созданы условия для повышения качества, разнообразия и доступности услуг. Обеспечено приведение в нормативное техническое состояние зданий муниципальных учреждений культуры путём проведения текущих (капитальных) ремонтов в зданиях. Проведено техническое оснащение (обновление) муниципальных учреждений культуры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171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  <w:t>Направление (подпрограмма) «Развитие деятельности организаций культуры»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4.</w:t>
            </w:r>
          </w:p>
        </w:tc>
        <w:tc>
          <w:tcPr>
            <w:tcW w:w="14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муниципальный проект «Создание условий для реализации творческого потенциала нации («Творческие люди») (Ульяновская область)», обеспечивающий достижение значений показателей и результатов регионального проекта «Творческие люди», входящего в состав национального проекта «Культура»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Срок реализации: 2025-2030 годы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4.1.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  <w14:ligatures w14:val="standardContextual"/>
              </w:rPr>
              <w:t xml:space="preserve">Граждане получают дополнительные возможности для творческого развития и </w:t>
            </w:r>
            <w:r w:rsidRPr="00FB198E"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  <w14:ligatures w14:val="standardContextual"/>
              </w:rPr>
              <w:lastRenderedPageBreak/>
              <w:t>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 xml:space="preserve">Созданы условия для повышения эффективности деятельности организаций культуры за счёт обеспечения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организаций культуры высокопрофессиональными сотрудниками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  <w:lastRenderedPageBreak/>
              <w:t>Число посещений мероприятий организаций культуры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4.2.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Обеспечена поддержка творческих инициатив, способствующих творческому самовыражению и самореализации широких слоёв населения, в первую очередь детей и молодёжи.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Созданы условия для повышения эффективности деятельности сельских учреждений культуры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4.3.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Граждане получают дополнительную поддержку со стороны государства в развитии добровольческой (волонтёрской) деятельности, что позволяет реализовывать социально значимые проекты в сфере культуры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Созданы условия для вовлечения граждан в культурную деятельность, сохранения культурного наследия в масштабах страны за счёт проведения программы «Волонтёры культуры», формирования социального института добровольчества, проведения международного лагеря и реализации образовательных программ для волонтёров по направлениям работы в сфере культуры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  <w:t>Количество граждан, принимающих участие в добровольческой деятельности;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5.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Муниципальный проект «Развитие искусства и творчества», обеспечивающий достижение значений показателей и результатов регионального проекта «Развитие искусства и творчества», не входящего в состав национального проекта 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Срок реализации: 2025-2026 годы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5.1.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Созданы условия для повышения качества, разнообразия и доступности услуг и технического оснащения муниципальных учреждений культурно-досугового типа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64"/>
        </w:trPr>
        <w:tc>
          <w:tcPr>
            <w:tcW w:w="151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  <w:t>Структурные элементы, не входящие в направления (подпрограммы)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6.</w:t>
            </w:r>
          </w:p>
        </w:tc>
        <w:tc>
          <w:tcPr>
            <w:tcW w:w="14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Комплекс процессных мероприятий «Обеспечение деятельности исполнителей и соисполнителей государственной программы»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14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Ответственные за реализацию:  администрация муниципального образования «Зеленорощинское сельское поселение»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6.1.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Обеспечено финансирование деятельности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муниципальных бюджетных учреждений, функции и полномочия учредителя которых осуществляет отдел культуры, с целью выполнения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ими муниципальных заданий, финансирование деятельности отдела культуры,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казённых учреждений.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уровень удовлетворённости граждан Российской Федерации доступностью и качеством услуг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</w:p>
        </w:tc>
      </w:tr>
    </w:tbl>
    <w:p w:rsidR="00FB198E" w:rsidRPr="00FB198E" w:rsidRDefault="00FB198E" w:rsidP="00FB198E">
      <w:pPr>
        <w:suppressAutoHyphens w:val="0"/>
        <w:spacing w:after="0" w:line="240" w:lineRule="auto"/>
        <w:jc w:val="right"/>
        <w:rPr>
          <w:rFonts w:ascii="PT Astra Serif" w:eastAsia="Calibri" w:hAnsi="PT Astra Serif" w:cs="PT Astra Serif"/>
          <w:color w:val="2F5496" w:themeColor="accent5" w:themeShade="BF"/>
          <w:kern w:val="0"/>
          <w:sz w:val="24"/>
          <w:szCs w:val="24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</w:pPr>
      <w:r w:rsidRPr="00FB198E"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  <w:lastRenderedPageBreak/>
        <w:t>Приложение № 3</w:t>
      </w:r>
    </w:p>
    <w:p w:rsidR="00FB198E" w:rsidRPr="00FB198E" w:rsidRDefault="00FB198E" w:rsidP="00FB198E">
      <w:pPr>
        <w:suppressAutoHyphens w:val="0"/>
        <w:spacing w:after="0" w:line="240" w:lineRule="auto"/>
        <w:jc w:val="right"/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</w:pPr>
      <w:r w:rsidRPr="00FB198E"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  <w:t>к муниципальной программе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  <w:t>ФИНАНСОВОЕ ОБЕСПЕЧЕНИЕ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  <w:t xml:space="preserve">муниципальной программы 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</w:pPr>
      <w:r w:rsidRPr="00FB198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«Развитие культуры в муниципальном образовании «Зеленорощинское сельское поселение» </w:t>
      </w:r>
      <w:r w:rsidRPr="00FB198E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  <w:t xml:space="preserve"> 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</w:pPr>
      <w:r w:rsidRPr="00FB198E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  <w:t>Ульяновского района</w:t>
      </w: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  <w:t xml:space="preserve"> Ульяновской области»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kern w:val="0"/>
          <w:sz w:val="2"/>
          <w:szCs w:val="2"/>
          <w:lang w:eastAsia="en-US"/>
        </w:rPr>
      </w:pPr>
    </w:p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</w:rPr>
      </w:pP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2"/>
        <w:gridCol w:w="1843"/>
        <w:gridCol w:w="1404"/>
        <w:gridCol w:w="10"/>
        <w:gridCol w:w="1373"/>
        <w:gridCol w:w="1150"/>
        <w:gridCol w:w="1065"/>
        <w:gridCol w:w="1065"/>
        <w:gridCol w:w="1066"/>
        <w:gridCol w:w="1065"/>
        <w:gridCol w:w="1065"/>
        <w:gridCol w:w="1066"/>
      </w:tblGrid>
      <w:tr w:rsidR="00FB198E" w:rsidRPr="00FB198E" w:rsidTr="000F75EC">
        <w:trPr>
          <w:trHeight w:val="143"/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72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Источник</w:t>
            </w:r>
          </w:p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финансового обеспечения</w:t>
            </w:r>
            <w:r w:rsidRPr="00FB198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реализации</w:t>
            </w:r>
            <w:r w:rsidRPr="00FB198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муниципальной программы, структурного элемента, мероприятия</w:t>
            </w:r>
          </w:p>
        </w:tc>
        <w:tc>
          <w:tcPr>
            <w:tcW w:w="1373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Код целевой статьи расходов</w:t>
            </w:r>
          </w:p>
        </w:tc>
        <w:tc>
          <w:tcPr>
            <w:tcW w:w="7542" w:type="dxa"/>
            <w:gridSpan w:val="7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Объём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FB198E" w:rsidRPr="00FB198E" w:rsidTr="000F75EC">
        <w:trPr>
          <w:trHeight w:val="143"/>
          <w:tblHeader/>
          <w:jc w:val="center"/>
        </w:trPr>
        <w:tc>
          <w:tcPr>
            <w:tcW w:w="562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66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66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2030</w:t>
            </w:r>
          </w:p>
        </w:tc>
      </w:tr>
      <w:tr w:rsidR="00FB198E" w:rsidRPr="00FB198E" w:rsidTr="000F75EC">
        <w:trPr>
          <w:trHeight w:val="143"/>
          <w:tblHeader/>
          <w:jc w:val="center"/>
        </w:trPr>
        <w:tc>
          <w:tcPr>
            <w:tcW w:w="562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2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3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0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6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FB198E" w:rsidRPr="00FB198E" w:rsidTr="000F75EC">
        <w:trPr>
          <w:trHeight w:val="207"/>
          <w:jc w:val="center"/>
        </w:trPr>
        <w:tc>
          <w:tcPr>
            <w:tcW w:w="2834" w:type="dxa"/>
            <w:gridSpan w:val="2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Муниципальная программа «Развитие культуры  в муниципальном образовании «Зеленорощинское сельское поселение» Ульяновского района Ульяновской области»</w:t>
            </w:r>
          </w:p>
        </w:tc>
        <w:tc>
          <w:tcPr>
            <w:tcW w:w="184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Муниципальное учреждение Администрации муниципального образования «Зеленорощинское сельское поселение» Ульяновского района Ульяновской области (далее – Администрация)</w:t>
            </w: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383" w:type="dxa"/>
            <w:gridSpan w:val="2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11604,38006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3804,38006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</w:tr>
      <w:tr w:rsidR="00FB198E" w:rsidRPr="00FB198E" w:rsidTr="000F75EC">
        <w:trPr>
          <w:trHeight w:val="207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 xml:space="preserve">бюджетные ассигнования местного бюджета муниципального образования «Зеленорощинское сельское поселение» 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lastRenderedPageBreak/>
              <w:t>(далее – бюджетные ассигнования местного бюджета)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9803,77098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2003,77098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</w:tr>
      <w:tr w:rsidR="00FB198E" w:rsidRPr="00FB198E" w:rsidTr="000F75EC">
        <w:trPr>
          <w:trHeight w:val="770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областного бюджета Ульяновской области (далее – бюджетные ассигнования областного бюджета)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770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граждан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464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хозяйствующих субъектов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175"/>
          <w:jc w:val="center"/>
        </w:trPr>
        <w:tc>
          <w:tcPr>
            <w:tcW w:w="15006" w:type="dxa"/>
            <w:gridSpan w:val="1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Направление (подпрограмма) "Развитие культуры"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Содержание учреждений культуры</w:t>
            </w:r>
          </w:p>
        </w:tc>
        <w:tc>
          <w:tcPr>
            <w:tcW w:w="184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/>
                <w:color w:val="000000"/>
                <w:kern w:val="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37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6440064010</w:t>
            </w: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9508,00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9508,00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72" w:type="dxa"/>
            <w:vMerge w:val="restart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00000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Реализация проекта развития муниципального образования Ульяновской области, подготовленного на основе местных инициатив граждан</w:t>
            </w:r>
          </w:p>
        </w:tc>
        <w:tc>
          <w:tcPr>
            <w:tcW w:w="184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37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64300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ru-RU"/>
              </w:rPr>
              <w:t>S0420</w:t>
            </w: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2096,38006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2096,38006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местного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295,77098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295,77098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граждан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хозяйствующих субъектов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sectPr w:rsidR="00FB198E" w:rsidRPr="00FB198E" w:rsidSect="004E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F0"/>
    <w:rsid w:val="00035A1D"/>
    <w:rsid w:val="000E3E07"/>
    <w:rsid w:val="00153FAF"/>
    <w:rsid w:val="00227A38"/>
    <w:rsid w:val="002B42CC"/>
    <w:rsid w:val="002C3CF0"/>
    <w:rsid w:val="003F0D32"/>
    <w:rsid w:val="0041761E"/>
    <w:rsid w:val="005D59E8"/>
    <w:rsid w:val="00617A02"/>
    <w:rsid w:val="007C48B7"/>
    <w:rsid w:val="008A4C72"/>
    <w:rsid w:val="00A316C0"/>
    <w:rsid w:val="00AC0291"/>
    <w:rsid w:val="00CB6EB4"/>
    <w:rsid w:val="00CF039E"/>
    <w:rsid w:val="00D75964"/>
    <w:rsid w:val="00E42331"/>
    <w:rsid w:val="00F0666B"/>
    <w:rsid w:val="00F74BA6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ED9"/>
  <w15:chartTrackingRefBased/>
  <w15:docId w15:val="{47B017B1-DA60-4660-97A9-5BB6E894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C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B42CC"/>
  </w:style>
  <w:style w:type="paragraph" w:styleId="a5">
    <w:name w:val="header"/>
    <w:basedOn w:val="a"/>
    <w:link w:val="a6"/>
    <w:rsid w:val="002B42CC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42C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2B42C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B42CC"/>
    <w:pPr>
      <w:widowControl w:val="0"/>
      <w:tabs>
        <w:tab w:val="left" w:pos="709"/>
        <w:tab w:val="left" w:pos="851"/>
      </w:tabs>
      <w:spacing w:after="0" w:line="100" w:lineRule="atLeast"/>
      <w:ind w:firstLine="720"/>
      <w:jc w:val="both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customStyle="1" w:styleId="10">
    <w:name w:val="Основной текст1"/>
    <w:basedOn w:val="a"/>
    <w:rsid w:val="002B42CC"/>
    <w:pPr>
      <w:shd w:val="clear" w:color="auto" w:fill="FFFFFF"/>
      <w:spacing w:before="360" w:after="60" w:line="0" w:lineRule="atLeast"/>
      <w:ind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12</cp:revision>
  <cp:lastPrinted>2024-10-28T14:18:00Z</cp:lastPrinted>
  <dcterms:created xsi:type="dcterms:W3CDTF">2024-10-15T09:43:00Z</dcterms:created>
  <dcterms:modified xsi:type="dcterms:W3CDTF">2024-12-28T04:42:00Z</dcterms:modified>
</cp:coreProperties>
</file>